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大兴安岭地区松岭区</w:t>
      </w: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一、殡仪馆服务公示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（此表由殡仪馆填写）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殡仪馆名称</w:t>
      </w:r>
      <w:r>
        <w:rPr>
          <w:rFonts w:hint="eastAsia" w:ascii="仿宋_GB2312" w:hAnsi="仿宋_GB2312" w:eastAsia="仿宋_GB2312" w:cs="仿宋_GB2312"/>
          <w:sz w:val="28"/>
          <w:szCs w:val="36"/>
        </w:rPr>
        <w:t>：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劲松镇公益性骨灰堂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327"/>
        <w:gridCol w:w="1275"/>
        <w:gridCol w:w="1485"/>
        <w:gridCol w:w="2475"/>
        <w:gridCol w:w="1200"/>
        <w:gridCol w:w="1455"/>
        <w:gridCol w:w="1360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1.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殡葬基本服务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服务项目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收费标准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计费单位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收费管理形式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收费依据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服务内容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bookmarkStart w:id="0" w:name="_Hlk205987479"/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遗体接运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遗体接运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松岭区辖区内遗体接运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遗体存放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遗体存放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遗体存放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以文件规定为准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1276" w:bottom="1474" w:left="1474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horzAnchor="margin" w:tblpXSpec="center" w:tblpY="720"/>
        <w:tblW w:w="14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80"/>
        <w:gridCol w:w="1149"/>
        <w:gridCol w:w="1125"/>
        <w:gridCol w:w="1620"/>
        <w:gridCol w:w="3060"/>
        <w:gridCol w:w="1125"/>
        <w:gridCol w:w="1365"/>
        <w:gridCol w:w="1455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4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lang w:eastAsia="zh-CN"/>
              </w:rPr>
            </w:pPr>
            <w:bookmarkStart w:id="1" w:name="OLE_LINK34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2.殡葬延伸服务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服务项目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专职司仪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专职司仪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公职专职司仪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使用吊唁厅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吊唁厅使用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吊唁厅使用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一次性运尸纸棺或运尸袋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一次性运尸纸棺材或运尸袋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一次性运尸纸棺材或运尸袋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在松岭区居住异地户籍居民死亡后火化免费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异地户籍在松岭区火化免费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异地户籍在松岭区火化免费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901"/>
        <w:tblW w:w="14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7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4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3.殡葬用品价格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殡葬用品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计价单位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材质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等级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bookmarkStart w:id="2" w:name="OLE_LINK35"/>
            <w:bookmarkStart w:id="3" w:name="OLE_LINK36"/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  <w:bookmarkEnd w:id="2"/>
            <w:bookmarkEnd w:id="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百元骨灰盒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密度板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3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*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19</w:t>
            </w: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*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押口钱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铜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直径</w:t>
            </w: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2.5cm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电子灯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塑料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丧盆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直径26cm圆形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说明：1.此表由殡仪馆填写，殡仪馆要本着“应报尽报”的原则，按照本公示参考样式，全面完整填报并公示本单位提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供的“基本殡葬服务收费”“非基本殡葬服务收费”“殡葬用品价格”等所有服务项目、收费标准、服务内容、服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务标准、收费依据和销售的殡葬用品价格、计价单位、产地、等级、材质等情况，不得以其他任何理由在公示之外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加收费用；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2.殡仪馆外包服务商或租用殡仪馆、公墓、骨灰堂场所的第三方机构提供殡葬服务和寄售殡葬用品，视同殡仪馆、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公墓、骨灰堂经营行为，按照“应报尽报”的原则一并公示，不得以其他任何理由在公示之外加收费用；3.本表中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ascii="宋体" w:hAnsi="宋体" w:eastAsia="仿宋_GB2312"/>
          <w:color w:val="FFFFFF"/>
          <w:sz w:val="24"/>
          <w:szCs w:val="32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所有已填写内容均为示例，各服务机构应按照实际情况进行填写。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4141470</wp:posOffset>
                </wp:positionV>
                <wp:extent cx="9072245" cy="1499235"/>
                <wp:effectExtent l="0" t="0" r="1460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24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5pt;margin-top:326.1pt;height:118.05pt;width:714.35pt;z-index:251659264;mso-width-relative:page;mso-height-relative:page;" fillcolor="#FFFFFF" filled="t" stroked="f" coordsize="21600,21600" o:gfxdata="UEsFBgAAAAAAAAAAAAAAAAAAAAAAAFBLAwQKAAAAAACHTuJAAAAAAAAAAAAAAAAABAAAAGRycy9Q&#10;SwMEFAAAAAgAh07iQI88TMjXAAAADAEAAA8AAABkcnMvZG93bnJldi54bWxNj8tOwzAQRfdI/IM1&#10;SOxa50VrhThdILFFoq+1G0/jCHscxe7z63FXsBzdo3vPNKurs+yMUxg8ScjnGTCkzuuBegnbzedM&#10;AAtRkVbWE0q4YYBV+/zUqFr7C33jeR17lkoo1EqCiXGsOQ+dQafC3I9IKTv6yamYzqnnelKXVO4s&#10;L7JswZ0aKC0YNeKHwe5nfXIS9r2773f5OBntbEVf99tm6wcpX1/y7B1YxGv8g+Ghn9ShTU4HfyId&#10;mJUwE3mZUAmLt6IA9iDKalkBO0gQQpTA24b/f6L9BVBLAwQUAAAACACHTuJAleh37ckBAACBAwAA&#10;DgAAAGRycy9lMm9Eb2MueG1srVNLbtswEN0X6B0I7mvJSpzGguUAqeFuirZAmgPQFCUR4A8c2pIv&#10;0N6gq26677l8jg4pxUnTTRbRgiJnHh/nvSFXN4NW5CA8SGsqOp/llAjDbS1NW9H7b9t315RAYKZm&#10;yhpR0aMAerN++2bVu1IUtrOqFp4giYGydxXtQnBllgHvhGYws04YTDbWaxZw6dus9qxHdq2yIs+v&#10;st762nnLBQBGN2OSToz+JYS2aSQXG8v3WpgwsnqhWEBJ0EkHdJ2qbRrBw5emARGIqigqDWnEQ3C+&#10;i2O2XrGy9cx1kk8lsJeU8EyTZtLgoWeqDQuM7L38j0pL7i3YJsy41dkoJDmCKub5M2/uOuZE0oJW&#10;gzubDq9Hyz8fvnoia7wJlBimseGnnz9Ov/6cfn8n82hP76BE1J1DXBhu7RChUxwwGFUPjdfxj3oI&#10;5tHc49lcMQTCMbjM3xfF5YISjrn55XJZXCwiT/a43XkIH4XVJE4q6rF7yVR2+ARhhD5A4mlglay3&#10;Uqm08O3ug/LkwLDT2/RN7P/AlCF9Ra8uFnliNjbuH6mVwWKi2lFVnIVhN0xSd7Y+ogN752XbYXHJ&#10;gwTHziQV0y2KrX+6TqSPL2f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I88TMjXAAAADAEAAA8A&#10;AAAAAAAAAQAgAAAAOAAAAGRycy9kb3ducmV2LnhtbFBLAQIUABQAAAAIAIdO4kCV6HftyQEAAIED&#10;AAAOAAAAAAAAAAEAIAAAADwBAABkcnMvZTJvRG9jLnhtbFBLBQYAAAAABgAGAFkBAAB3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二、公墓价格公示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（此表由公墓运营单位填写）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公墓运营单位：</w:t>
      </w:r>
    </w:p>
    <w:p>
      <w:pPr>
        <w:spacing w:line="73" w:lineRule="exact"/>
        <w:rPr>
          <w:lang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公墓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墓穴位置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护墓管理费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墓穴详情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default" w:ascii="宋体" w:hAnsi="宋体" w:eastAsia="仿宋_GB2312"/>
                <w:sz w:val="21"/>
                <w:lang w:val="en-US"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劲松镇西山公墓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rPr>
          <w:rFonts w:eastAsia="宋体"/>
          <w:snapToGrid w:val="0"/>
          <w:lang w:eastAsia="zh-CN"/>
        </w:rPr>
        <w:sectPr>
          <w:pgSz w:w="16840" w:h="11900" w:orient="landscape"/>
          <w:pgMar w:top="720" w:right="1276" w:bottom="1474" w:left="1474" w:header="0" w:footer="1587" w:gutter="0"/>
          <w:pgNumType w:fmt="numberInDash"/>
          <w:cols w:space="720" w:num="1"/>
          <w:docGrid w:linePitch="286" w:charSpace="0"/>
        </w:sectPr>
      </w:pPr>
    </w:p>
    <w:p>
      <w:pPr>
        <w:widowControl w:val="0"/>
        <w:kinsoku/>
        <w:autoSpaceDE/>
        <w:spacing w:line="360" w:lineRule="exact"/>
        <w:ind w:left="1375" w:leftChars="312" w:hanging="720" w:hangingChars="3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说明：1.此表由</w:t>
      </w:r>
      <w:bookmarkStart w:id="4" w:name="OLE_LINK2"/>
      <w:bookmarkStart w:id="5" w:name="OLE_LINK1"/>
      <w:bookmarkStart w:id="6" w:name="OLE_LINK3"/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公墓运营单位</w:t>
      </w:r>
      <w:bookmarkEnd w:id="4"/>
      <w:bookmarkEnd w:id="5"/>
      <w:bookmarkEnd w:id="6"/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填写，公墓运营单位要本着“应报尽报”的原则，按照本公示参考样式，全面完整填报并公示本单位提供的公墓及护墓管理费等所有项目、收费标准、墓穴详情等情况，不得以其他任何理由在公示之外加收费用；</w:t>
      </w:r>
    </w:p>
    <w:p>
      <w:pPr>
        <w:widowControl w:val="0"/>
        <w:kinsoku/>
        <w:autoSpaceDE/>
        <w:spacing w:line="360" w:lineRule="exact"/>
        <w:ind w:left="895" w:leftChars="426" w:firstLine="480" w:firstLineChars="2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2.本表统计辖区内所有墓地情况，暂不收费的公墓也需填写，并在备注中注明情况。</w:t>
      </w:r>
    </w:p>
    <w:p>
      <w:pPr>
        <w:widowControl w:val="0"/>
        <w:kinsoku/>
        <w:autoSpaceDE/>
        <w:spacing w:line="360" w:lineRule="exact"/>
        <w:ind w:left="895" w:leftChars="426" w:firstLine="480" w:firstLineChars="2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sectPr>
          <w:type w:val="continuous"/>
          <w:pgSz w:w="16840" w:h="11900" w:orient="landscape"/>
          <w:pgMar w:top="1134" w:right="1134" w:bottom="993" w:left="1134" w:header="0" w:footer="908" w:gutter="0"/>
          <w:pgNumType w:fmt="numberInDash"/>
          <w:cols w:space="720" w:num="1"/>
          <w:docGrid w:linePitch="286" w:charSpace="0"/>
        </w:sect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3.本表中所有已填写内容均为示例，各公墓运营单位应按照实际情况进行填写。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三、骨灰寄存公示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（此表由骨灰寄存服务提供者填写）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bookmarkStart w:id="7" w:name="OLE_LINK39"/>
            <w:bookmarkStart w:id="8" w:name="OLE_LINK37"/>
            <w:bookmarkStart w:id="9" w:name="OLE_LINK38"/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骨灰寄存服务提供单位</w:t>
            </w:r>
            <w:bookmarkEnd w:id="7"/>
            <w:bookmarkEnd w:id="8"/>
            <w:bookmarkEnd w:id="9"/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：劲松镇公益性骨灰堂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服务项目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服务内容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以文件规定为准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…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bidi w:val="0"/>
        <w:rPr>
          <w:lang w:eastAsia="zh-CN"/>
        </w:rPr>
        <w:sectPr>
          <w:pgSz w:w="16840" w:h="11900" w:orient="landscape"/>
          <w:pgMar w:top="720" w:right="1276" w:bottom="1474" w:left="1474" w:header="0" w:footer="1587" w:gutter="0"/>
          <w:pgNumType w:fmt="numberInDash"/>
          <w:cols w:space="720" w:num="1"/>
          <w:docGrid w:linePitch="286" w:charSpace="0"/>
        </w:sectPr>
      </w:pPr>
    </w:p>
    <w:p>
      <w:pPr>
        <w:widowControl w:val="0"/>
        <w:kinsoku/>
        <w:autoSpaceDE/>
        <w:spacing w:line="360" w:lineRule="exact"/>
        <w:ind w:left="1375" w:leftChars="312" w:hanging="720" w:hangingChars="3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说明：1.本表仅需单独提供骨灰寄存服务的单位填写，骨灰寄存服务由殡仪馆提供的，不需单独填写此表。</w:t>
      </w:r>
    </w:p>
    <w:p>
      <w:pPr>
        <w:widowControl w:val="0"/>
        <w:kinsoku/>
        <w:autoSpaceDE/>
        <w:spacing w:line="360" w:lineRule="exact"/>
        <w:ind w:left="1373" w:leftChars="654" w:firstLine="0" w:firstLineChars="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2.骨灰寄存服务提供单位要本着“应报尽报”的原则，按照本公示参考样式，全面完整填报并公示本单位提供的骨灰寄存服务等所有项目、收费标准等情况，不得以其他任何理由在公示之外加收费用；</w:t>
      </w:r>
    </w:p>
    <w:p>
      <w:pPr>
        <w:widowControl w:val="0"/>
        <w:kinsoku/>
        <w:autoSpaceDE/>
        <w:spacing w:line="360" w:lineRule="exact"/>
        <w:ind w:left="1373" w:leftChars="654" w:firstLine="0" w:firstLineChars="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sectPr>
          <w:type w:val="continuous"/>
          <w:pgSz w:w="16840" w:h="11900" w:orient="landscape"/>
          <w:pgMar w:top="1134" w:right="1134" w:bottom="993" w:left="1134" w:header="0" w:footer="908" w:gutter="0"/>
          <w:pgNumType w:fmt="numberInDash"/>
          <w:cols w:space="720" w:num="1"/>
          <w:docGrid w:linePitch="286" w:charSpace="0"/>
        </w:sect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3.本表中所有已填写内容均为示例，各服务单位应按照实际情况进行填写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0BAE"/>
    <w:rsid w:val="128A3F79"/>
    <w:rsid w:val="15783F76"/>
    <w:rsid w:val="16EC1372"/>
    <w:rsid w:val="27621FB7"/>
    <w:rsid w:val="328E5046"/>
    <w:rsid w:val="3FE3D858"/>
    <w:rsid w:val="447C45A2"/>
    <w:rsid w:val="48E4012D"/>
    <w:rsid w:val="4C8137F2"/>
    <w:rsid w:val="4D8F316A"/>
    <w:rsid w:val="5B8FB519"/>
    <w:rsid w:val="5FCFF6E9"/>
    <w:rsid w:val="66770753"/>
    <w:rsid w:val="67303F39"/>
    <w:rsid w:val="68BB4DBD"/>
    <w:rsid w:val="68E257D8"/>
    <w:rsid w:val="779AB482"/>
    <w:rsid w:val="79F14FC2"/>
    <w:rsid w:val="7FBD03E4"/>
    <w:rsid w:val="7FDF88C4"/>
    <w:rsid w:val="C77FF2DD"/>
    <w:rsid w:val="F7EDAA58"/>
    <w:rsid w:val="FCFF32F1"/>
    <w:rsid w:val="FF3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2058</Words>
  <Characters>2124</Characters>
  <Lines>0</Lines>
  <Paragraphs>0</Paragraphs>
  <TotalTime>11</TotalTime>
  <ScaleCrop>false</ScaleCrop>
  <LinksUpToDate>false</LinksUpToDate>
  <CharactersWithSpaces>2160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2025-08-26T22:39:00Z</dcterms:created>
  <dc:creator>Administrator</dc:creator>
  <cp:lastModifiedBy>UOS</cp:lastModifiedBy>
  <dcterms:modified xsi:type="dcterms:W3CDTF">2025-10-09T11:08:23Z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eyJoZGlkIjoiMjQxZjJiOTc4MDI0MGFmNmI2YzFlZjcyNjhmN2FiYjciLCJ1c2VySWQiOiI0NDMyMTcwMzkifQ==</vt:lpwstr>
  </property>
  <property fmtid="{D5CDD505-2E9C-101B-9397-08002B2CF9AE}" pid="4" name="ICV">
    <vt:lpwstr>F8DC3280F8944C5D9F2785071835288E_12</vt:lpwstr>
  </property>
</Properties>
</file>